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1.  </w:t>
      </w:r>
      <w:proofErr w:type="gramStart"/>
      <w:r w:rsidRPr="00E0629E">
        <w:rPr>
          <w:rFonts w:ascii="Times New Roman" w:hAnsi="Times New Roman"/>
          <w:b/>
          <w:sz w:val="22"/>
          <w:szCs w:val="22"/>
        </w:rPr>
        <w:t>The VirtualPlant Multinetwork.</w:t>
      </w:r>
      <w:proofErr w:type="gramEnd"/>
      <w:r w:rsidRPr="00E0629E">
        <w:rPr>
          <w:rFonts w:ascii="Times New Roman" w:hAnsi="Times New Roman"/>
          <w:b/>
          <w:sz w:val="22"/>
          <w:szCs w:val="22"/>
        </w:rPr>
        <w:t xml:space="preserve">  </w:t>
      </w:r>
      <w:r w:rsidRPr="00E0629E">
        <w:rPr>
          <w:rFonts w:ascii="Times New Roman" w:hAnsi="Times New Roman"/>
          <w:sz w:val="22"/>
          <w:szCs w:val="22"/>
        </w:rPr>
        <w:t xml:space="preserve">The Arabidopsis multinetwork contains genes represented as nodes (A) that are connected by edges of many types (B) including metabolic, protein-DNA, protein-protein, </w:t>
      </w:r>
      <w:proofErr w:type="spellStart"/>
      <w:r w:rsidRPr="00E0629E">
        <w:rPr>
          <w:rFonts w:ascii="Times New Roman" w:hAnsi="Times New Roman"/>
          <w:sz w:val="22"/>
          <w:szCs w:val="22"/>
        </w:rPr>
        <w:t>microRNA</w:t>
      </w:r>
      <w:proofErr w:type="spellEnd"/>
      <w:r w:rsidRPr="00E0629E">
        <w:rPr>
          <w:rFonts w:ascii="Times New Roman" w:hAnsi="Times New Roman"/>
          <w:sz w:val="22"/>
          <w:szCs w:val="22"/>
        </w:rPr>
        <w:t xml:space="preserve">-RNA, and edges derived from text mining </w:t>
      </w:r>
      <w:r w:rsidRPr="00E0629E">
        <w:rPr>
          <w:rFonts w:ascii="Times New Roman" w:hAnsi="Times New Roman"/>
          <w:sz w:val="22"/>
          <w:szCs w:val="22"/>
          <w:highlight w:val="yellow"/>
        </w:rPr>
        <w:t>{</w:t>
      </w:r>
      <w:proofErr w:type="spellStart"/>
      <w:r w:rsidRPr="00E0629E">
        <w:rPr>
          <w:rFonts w:ascii="Times New Roman" w:hAnsi="Times New Roman"/>
          <w:sz w:val="22"/>
          <w:szCs w:val="22"/>
          <w:highlight w:val="yellow"/>
        </w:rPr>
        <w:t>Katari</w:t>
      </w:r>
      <w:proofErr w:type="spellEnd"/>
      <w:r w:rsidRPr="00E0629E">
        <w:rPr>
          <w:rFonts w:ascii="Times New Roman" w:hAnsi="Times New Roman"/>
          <w:sz w:val="22"/>
          <w:szCs w:val="22"/>
          <w:highlight w:val="yellow"/>
        </w:rPr>
        <w:t>, 2009 #1}</w:t>
      </w:r>
      <w:r w:rsidRPr="00E0629E">
        <w:rPr>
          <w:rFonts w:ascii="Times New Roman" w:hAnsi="Times New Roman"/>
          <w:sz w:val="22"/>
          <w:szCs w:val="22"/>
        </w:rPr>
        <w:t xml:space="preserve">. (C) </w:t>
      </w:r>
      <w:proofErr w:type="gramStart"/>
      <w:r w:rsidRPr="00E0629E">
        <w:rPr>
          <w:rFonts w:ascii="Times New Roman" w:hAnsi="Times New Roman"/>
          <w:sz w:val="22"/>
          <w:szCs w:val="22"/>
        </w:rPr>
        <w:t>shows</w:t>
      </w:r>
      <w:proofErr w:type="gramEnd"/>
      <w:r w:rsidRPr="00E0629E">
        <w:rPr>
          <w:rFonts w:ascii="Times New Roman" w:hAnsi="Times New Roman"/>
          <w:sz w:val="22"/>
          <w:szCs w:val="22"/>
        </w:rPr>
        <w:t xml:space="preserve"> a network neighborhood resulting from querying this multinetwork with microarray data, uncovering a regulatory hub (CCA1) involved in nitrogen signaling </w:t>
      </w:r>
      <w:r w:rsidRPr="00E0629E">
        <w:rPr>
          <w:rFonts w:ascii="Times New Roman" w:hAnsi="Times New Roman"/>
          <w:sz w:val="22"/>
          <w:szCs w:val="22"/>
          <w:highlight w:val="yellow"/>
        </w:rPr>
        <w:t>{Gutierrez, 2008 #7}</w:t>
      </w:r>
      <w:r w:rsidRPr="00E0629E">
        <w:rPr>
          <w:rFonts w:ascii="Times New Roman" w:hAnsi="Times New Roman"/>
          <w:sz w:val="22"/>
          <w:szCs w:val="22"/>
        </w:rPr>
        <w:t>.</w:t>
      </w:r>
    </w:p>
    <w:p w:rsidR="00E0629E" w:rsidRPr="00E0629E" w:rsidRDefault="00E0629E" w:rsidP="00E0629E">
      <w:pPr>
        <w:pStyle w:val="PlainText"/>
        <w:jc w:val="both"/>
        <w:rPr>
          <w:rFonts w:ascii="Times New Roman" w:hAnsi="Times New Roman"/>
          <w:b/>
          <w:sz w:val="22"/>
          <w:szCs w:val="22"/>
        </w:rPr>
      </w:pPr>
    </w:p>
    <w:p w:rsidR="00E0629E" w:rsidRPr="00E0629E" w:rsidRDefault="00E0629E" w:rsidP="00E0629E">
      <w:pPr>
        <w:pStyle w:val="PlainText"/>
        <w:jc w:val="both"/>
        <w:rPr>
          <w:rFonts w:ascii="Times New Roman" w:hAnsi="Times New Roman"/>
          <w:sz w:val="22"/>
          <w:szCs w:val="22"/>
        </w:rPr>
      </w:pPr>
      <w:r w:rsidRPr="00E0629E">
        <w:rPr>
          <w:rFonts w:ascii="Times New Roman" w:hAnsi="Times New Roman"/>
          <w:b/>
          <w:sz w:val="22"/>
          <w:szCs w:val="22"/>
        </w:rPr>
        <w:t>Table I</w:t>
      </w:r>
      <w:r w:rsidRPr="00E0629E">
        <w:rPr>
          <w:rFonts w:ascii="Times New Roman" w:hAnsi="Times New Roman"/>
          <w:sz w:val="22"/>
          <w:szCs w:val="22"/>
        </w:rPr>
        <w:t xml:space="preserve">.  </w:t>
      </w:r>
      <w:proofErr w:type="gramStart"/>
      <w:r w:rsidRPr="00E0629E">
        <w:rPr>
          <w:rFonts w:ascii="Times New Roman" w:hAnsi="Times New Roman"/>
          <w:b/>
          <w:sz w:val="22"/>
          <w:szCs w:val="22"/>
        </w:rPr>
        <w:t>Quantitative Information about the Edge Types of the Arabidopsis Multinetwork</w:t>
      </w:r>
      <w:r w:rsidRPr="00E0629E">
        <w:rPr>
          <w:rFonts w:ascii="Times New Roman" w:hAnsi="Times New Roman"/>
          <w:sz w:val="22"/>
          <w:szCs w:val="22"/>
        </w:rPr>
        <w:t>.</w:t>
      </w:r>
      <w:proofErr w:type="gramEnd"/>
      <w:r w:rsidRPr="00E0629E">
        <w:rPr>
          <w:rFonts w:ascii="Times New Roman" w:hAnsi="Times New Roman"/>
          <w:sz w:val="22"/>
          <w:szCs w:val="22"/>
        </w:rPr>
        <w:t xml:space="preserve"> </w:t>
      </w:r>
      <w:r w:rsidR="00B47FEA">
        <w:rPr>
          <w:rFonts w:ascii="Times New Roman" w:hAnsi="Times New Roman"/>
          <w:sz w:val="22"/>
          <w:szCs w:val="22"/>
        </w:rPr>
        <w:t xml:space="preserve">The </w:t>
      </w:r>
      <w:proofErr w:type="spellStart"/>
      <w:r w:rsidR="00B47FEA">
        <w:rPr>
          <w:rFonts w:ascii="Times New Roman" w:hAnsi="Times New Roman"/>
          <w:sz w:val="22"/>
          <w:szCs w:val="22"/>
        </w:rPr>
        <w:t>multinetork</w:t>
      </w:r>
      <w:proofErr w:type="spellEnd"/>
      <w:r w:rsidR="00B47FEA">
        <w:rPr>
          <w:rFonts w:ascii="Times New Roman" w:hAnsi="Times New Roman"/>
          <w:sz w:val="22"/>
          <w:szCs w:val="22"/>
        </w:rPr>
        <w:t xml:space="preserve"> is described further in</w:t>
      </w:r>
      <w:r w:rsidRPr="00E0629E">
        <w:rPr>
          <w:rFonts w:ascii="Times New Roman" w:hAnsi="Times New Roman"/>
          <w:sz w:val="22"/>
          <w:szCs w:val="22"/>
        </w:rPr>
        <w:t xml:space="preserve"> </w:t>
      </w:r>
      <w:r w:rsidRPr="00E0629E">
        <w:rPr>
          <w:rFonts w:ascii="Times New Roman" w:hAnsi="Times New Roman"/>
          <w:sz w:val="22"/>
          <w:szCs w:val="22"/>
          <w:highlight w:val="yellow"/>
        </w:rPr>
        <w:t>{</w:t>
      </w:r>
      <w:proofErr w:type="spellStart"/>
      <w:r w:rsidRPr="00E0629E">
        <w:rPr>
          <w:rFonts w:ascii="Times New Roman" w:hAnsi="Times New Roman"/>
          <w:sz w:val="22"/>
          <w:szCs w:val="22"/>
          <w:highlight w:val="yellow"/>
        </w:rPr>
        <w:t>Katari</w:t>
      </w:r>
      <w:proofErr w:type="spellEnd"/>
      <w:r w:rsidRPr="00E0629E">
        <w:rPr>
          <w:rFonts w:ascii="Times New Roman" w:hAnsi="Times New Roman"/>
          <w:sz w:val="22"/>
          <w:szCs w:val="22"/>
          <w:highlight w:val="yellow"/>
        </w:rPr>
        <w:t>, 2009 #1}</w:t>
      </w:r>
      <w:r w:rsidRPr="00E0629E">
        <w:rPr>
          <w:rFonts w:ascii="Times New Roman" w:hAnsi="Times New Roman"/>
          <w:sz w:val="22"/>
          <w:szCs w:val="22"/>
        </w:rPr>
        <w:t xml:space="preserve">. </w:t>
      </w:r>
    </w:p>
    <w:p w:rsidR="00E0629E" w:rsidRPr="00E0629E" w:rsidRDefault="00E0629E" w:rsidP="00E0629E">
      <w:pPr>
        <w:pStyle w:val="PlainText"/>
        <w:jc w:val="both"/>
        <w:rPr>
          <w:rFonts w:ascii="Times New Roman" w:hAnsi="Times New Roman"/>
          <w:b/>
          <w:sz w:val="22"/>
          <w:szCs w:val="22"/>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2. The VirtualPlant Arabidopsis and Rice Home Pages.  </w:t>
      </w:r>
      <w:r w:rsidRPr="00E0629E">
        <w:rPr>
          <w:rFonts w:ascii="Times New Roman" w:hAnsi="Times New Roman"/>
          <w:sz w:val="22"/>
          <w:szCs w:val="22"/>
        </w:rPr>
        <w:t>The</w:t>
      </w:r>
      <w:r w:rsidRPr="00E0629E">
        <w:rPr>
          <w:rFonts w:ascii="Times New Roman" w:hAnsi="Times New Roman"/>
          <w:b/>
          <w:sz w:val="22"/>
          <w:szCs w:val="22"/>
        </w:rPr>
        <w:t xml:space="preserve"> </w:t>
      </w:r>
      <w:r w:rsidRPr="00E0629E">
        <w:rPr>
          <w:rFonts w:ascii="Times New Roman" w:hAnsi="Times New Roman"/>
          <w:sz w:val="22"/>
          <w:szCs w:val="22"/>
        </w:rPr>
        <w:t>VirtualPlant software platform (</w:t>
      </w:r>
      <w:hyperlink r:id="rId5" w:history="1">
        <w:r w:rsidRPr="00E0629E">
          <w:rPr>
            <w:rStyle w:val="Hyperlink"/>
            <w:rFonts w:ascii="Times New Roman" w:hAnsi="Times New Roman"/>
            <w:sz w:val="22"/>
            <w:szCs w:val="22"/>
          </w:rPr>
          <w:t>www.virtualplant.org</w:t>
        </w:r>
      </w:hyperlink>
      <w:r w:rsidRPr="00E0629E">
        <w:rPr>
          <w:rFonts w:ascii="Times New Roman" w:hAnsi="Times New Roman"/>
          <w:sz w:val="22"/>
          <w:szCs w:val="22"/>
        </w:rPr>
        <w:t xml:space="preserve">) </w:t>
      </w:r>
      <w:r w:rsidR="00B47FEA">
        <w:rPr>
          <w:rFonts w:ascii="Times New Roman" w:hAnsi="Times New Roman"/>
          <w:sz w:val="22"/>
          <w:szCs w:val="22"/>
        </w:rPr>
        <w:t>is designed to support</w:t>
      </w:r>
      <w:r w:rsidRPr="00E0629E">
        <w:rPr>
          <w:rFonts w:ascii="Times New Roman" w:hAnsi="Times New Roman"/>
          <w:sz w:val="22"/>
          <w:szCs w:val="22"/>
        </w:rPr>
        <w:t xml:space="preserve"> multiple species </w:t>
      </w:r>
      <w:r w:rsidRPr="00E0629E">
        <w:rPr>
          <w:rFonts w:ascii="Times New Roman" w:hAnsi="Times New Roman"/>
          <w:sz w:val="22"/>
          <w:szCs w:val="22"/>
          <w:highlight w:val="yellow"/>
        </w:rPr>
        <w:t>{</w:t>
      </w:r>
      <w:proofErr w:type="spellStart"/>
      <w:r w:rsidRPr="00E0629E">
        <w:rPr>
          <w:rFonts w:ascii="Times New Roman" w:hAnsi="Times New Roman"/>
          <w:sz w:val="22"/>
          <w:szCs w:val="22"/>
          <w:highlight w:val="yellow"/>
        </w:rPr>
        <w:t>Katari</w:t>
      </w:r>
      <w:proofErr w:type="spellEnd"/>
      <w:r w:rsidRPr="00E0629E">
        <w:rPr>
          <w:rFonts w:ascii="Times New Roman" w:hAnsi="Times New Roman"/>
          <w:sz w:val="22"/>
          <w:szCs w:val="22"/>
          <w:highlight w:val="yellow"/>
        </w:rPr>
        <w:t>, 2009 #1}</w:t>
      </w:r>
      <w:r w:rsidRPr="00E0629E">
        <w:rPr>
          <w:rFonts w:ascii="Times New Roman" w:hAnsi="Times New Roman"/>
          <w:sz w:val="22"/>
          <w:szCs w:val="22"/>
        </w:rPr>
        <w:t>. Shown are the two home pages for Arabidopsis and Rice. Each supports a common set of tools but is implemented on top of a separate database. An analysis within a species will not be slowed down by the addition of another species.</w:t>
      </w:r>
    </w:p>
    <w:p w:rsidR="00E0629E" w:rsidRPr="00E0629E" w:rsidRDefault="00E0629E" w:rsidP="00E0629E">
      <w:pPr>
        <w:pStyle w:val="PlainText"/>
        <w:jc w:val="both"/>
        <w:rPr>
          <w:rFonts w:ascii="Times New Roman" w:hAnsi="Times New Roman"/>
          <w:b/>
          <w:sz w:val="22"/>
          <w:szCs w:val="22"/>
          <w:highlight w:val="darkGreen"/>
        </w:rPr>
      </w:pPr>
    </w:p>
    <w:p w:rsidR="00E0629E" w:rsidRPr="00005C30" w:rsidRDefault="00E0629E" w:rsidP="00E0629E">
      <w:pPr>
        <w:pStyle w:val="PlainText"/>
        <w:jc w:val="both"/>
        <w:rPr>
          <w:rFonts w:ascii="Times New Roman" w:eastAsia="MS Mincho" w:hAnsi="Times New Roman"/>
          <w:noProof/>
          <w:sz w:val="22"/>
          <w:szCs w:val="22"/>
        </w:rPr>
      </w:pPr>
      <w:r w:rsidRPr="00E0629E">
        <w:rPr>
          <w:rFonts w:ascii="Times New Roman" w:hAnsi="Times New Roman"/>
          <w:b/>
          <w:sz w:val="22"/>
          <w:szCs w:val="22"/>
        </w:rPr>
        <w:t>Fig. 3. Network inference and Validation Pipelines for</w:t>
      </w:r>
      <w:r w:rsidRPr="00E0629E">
        <w:rPr>
          <w:rFonts w:ascii="Times New Roman" w:hAnsi="Times New Roman"/>
          <w:sz w:val="22"/>
          <w:szCs w:val="22"/>
        </w:rPr>
        <w:t xml:space="preserve"> </w:t>
      </w:r>
      <w:r w:rsidRPr="00E0629E">
        <w:rPr>
          <w:rFonts w:ascii="Times New Roman" w:hAnsi="Times New Roman"/>
          <w:b/>
          <w:sz w:val="22"/>
          <w:szCs w:val="22"/>
        </w:rPr>
        <w:t>Cross Species Network Inference (CSNI).</w:t>
      </w:r>
      <w:r w:rsidRPr="00E0629E">
        <w:rPr>
          <w:rFonts w:ascii="Times New Roman" w:hAnsi="Times New Roman"/>
          <w:sz w:val="22"/>
          <w:szCs w:val="22"/>
        </w:rPr>
        <w:t xml:space="preserve"> The cross species network inference suite </w:t>
      </w:r>
      <w:r w:rsidR="00B47FEA">
        <w:rPr>
          <w:rFonts w:ascii="Times New Roman" w:hAnsi="Times New Roman"/>
          <w:sz w:val="22"/>
          <w:szCs w:val="22"/>
        </w:rPr>
        <w:t xml:space="preserve">of Aim 3 </w:t>
      </w:r>
      <w:r w:rsidRPr="00E0629E">
        <w:rPr>
          <w:rFonts w:ascii="Times New Roman" w:hAnsi="Times New Roman"/>
          <w:sz w:val="22"/>
          <w:szCs w:val="22"/>
        </w:rPr>
        <w:t xml:space="preserve">will </w:t>
      </w:r>
      <w:r w:rsidR="00B47FEA">
        <w:rPr>
          <w:rFonts w:ascii="Times New Roman" w:hAnsi="Times New Roman"/>
          <w:sz w:val="22"/>
          <w:szCs w:val="22"/>
        </w:rPr>
        <w:t>unify the techniques of Aims 1 and 2 into a full workflow for under-analyzed species:</w:t>
      </w:r>
      <w:r w:rsidRPr="00E0629E">
        <w:rPr>
          <w:rFonts w:ascii="Times New Roman" w:hAnsi="Times New Roman"/>
          <w:sz w:val="22"/>
          <w:szCs w:val="22"/>
        </w:rPr>
        <w:t xml:space="preserve"> (Panel A) a CSNI inference pipeline, (Panel B) Time-series data collection, analysis and prediction and (Panel C) Validation.  </w:t>
      </w:r>
      <w:r w:rsidRPr="00E0629E">
        <w:rPr>
          <w:rFonts w:ascii="Times New Roman" w:hAnsi="Times New Roman"/>
          <w:b/>
          <w:sz w:val="22"/>
          <w:szCs w:val="22"/>
        </w:rPr>
        <w:t>Panel A</w:t>
      </w:r>
      <w:r w:rsidRPr="00E0629E">
        <w:rPr>
          <w:rFonts w:ascii="Times New Roman" w:hAnsi="Times New Roman"/>
          <w:sz w:val="22"/>
          <w:szCs w:val="22"/>
        </w:rPr>
        <w:t xml:space="preserve">: The depicted CSNI pipeline will combine inference based on homology from a reference species and experimental data in a target species to obtain an </w:t>
      </w:r>
      <w:r w:rsidRPr="00E0629E">
        <w:rPr>
          <w:rFonts w:ascii="Times New Roman" w:hAnsi="Times New Roman"/>
          <w:i/>
          <w:sz w:val="22"/>
          <w:szCs w:val="22"/>
        </w:rPr>
        <w:t>inferred</w:t>
      </w:r>
      <w:r w:rsidRPr="00E0629E">
        <w:rPr>
          <w:rFonts w:ascii="Times New Roman" w:hAnsi="Times New Roman"/>
          <w:sz w:val="22"/>
          <w:szCs w:val="22"/>
        </w:rPr>
        <w:t xml:space="preserve"> net</w:t>
      </w:r>
      <w:r w:rsidR="00B47FEA">
        <w:rPr>
          <w:rFonts w:ascii="Times New Roman" w:hAnsi="Times New Roman"/>
          <w:sz w:val="22"/>
          <w:szCs w:val="22"/>
        </w:rPr>
        <w:t>work in the target species</w:t>
      </w:r>
      <w:r w:rsidRPr="00E0629E">
        <w:rPr>
          <w:rFonts w:ascii="Times New Roman" w:hAnsi="Times New Roman"/>
          <w:sz w:val="22"/>
          <w:szCs w:val="22"/>
        </w:rPr>
        <w:t xml:space="preserve">.  </w:t>
      </w:r>
      <w:r w:rsidRPr="00E0629E">
        <w:rPr>
          <w:rFonts w:ascii="Times New Roman" w:hAnsi="Times New Roman"/>
          <w:b/>
          <w:sz w:val="22"/>
          <w:szCs w:val="22"/>
        </w:rPr>
        <w:t>Panel B</w:t>
      </w:r>
      <w:r w:rsidRPr="00E0629E">
        <w:rPr>
          <w:rFonts w:ascii="Times New Roman" w:hAnsi="Times New Roman"/>
          <w:sz w:val="22"/>
          <w:szCs w:val="22"/>
        </w:rPr>
        <w:t xml:space="preserve">: Aim 2 provides a method to infer a network using closely spaced time series data by using </w:t>
      </w:r>
      <w:r w:rsidR="00B47FEA">
        <w:rPr>
          <w:rFonts w:ascii="Times New Roman" w:hAnsi="Times New Roman"/>
          <w:sz w:val="22"/>
          <w:szCs w:val="22"/>
        </w:rPr>
        <w:t xml:space="preserve">State Space </w:t>
      </w:r>
      <w:proofErr w:type="spellStart"/>
      <w:proofErr w:type="gramStart"/>
      <w:r w:rsidR="00B47FEA">
        <w:rPr>
          <w:rFonts w:ascii="Times New Roman" w:hAnsi="Times New Roman"/>
          <w:sz w:val="22"/>
          <w:szCs w:val="22"/>
        </w:rPr>
        <w:t>modeling.</w:t>
      </w:r>
      <w:r w:rsidRPr="00E0629E">
        <w:rPr>
          <w:rFonts w:ascii="Times New Roman" w:hAnsi="Times New Roman"/>
          <w:sz w:val="22"/>
          <w:szCs w:val="22"/>
        </w:rPr>
        <w:t>Validation</w:t>
      </w:r>
      <w:proofErr w:type="spellEnd"/>
      <w:proofErr w:type="gramEnd"/>
      <w:r w:rsidRPr="00E0629E">
        <w:rPr>
          <w:rFonts w:ascii="Times New Roman" w:hAnsi="Times New Roman"/>
          <w:sz w:val="22"/>
          <w:szCs w:val="22"/>
        </w:rPr>
        <w:t xml:space="preserve"> is based on prediction on </w:t>
      </w:r>
      <w:proofErr w:type="spellStart"/>
      <w:r w:rsidRPr="00E0629E">
        <w:rPr>
          <w:rFonts w:ascii="Times New Roman" w:hAnsi="Times New Roman"/>
          <w:sz w:val="22"/>
          <w:szCs w:val="22"/>
        </w:rPr>
        <w:t>unsampled</w:t>
      </w:r>
      <w:proofErr w:type="spellEnd"/>
      <w:r w:rsidRPr="00E0629E">
        <w:rPr>
          <w:rFonts w:ascii="Times New Roman" w:hAnsi="Times New Roman"/>
          <w:sz w:val="22"/>
          <w:szCs w:val="22"/>
        </w:rPr>
        <w:t xml:space="preserve"> data. </w:t>
      </w:r>
      <w:r w:rsidRPr="00E0629E">
        <w:rPr>
          <w:rFonts w:ascii="Times New Roman" w:hAnsi="Times New Roman"/>
          <w:b/>
          <w:sz w:val="22"/>
          <w:szCs w:val="22"/>
        </w:rPr>
        <w:t>Panel C</w:t>
      </w:r>
      <w:r w:rsidR="003F7E04">
        <w:rPr>
          <w:rFonts w:ascii="Times New Roman" w:hAnsi="Times New Roman"/>
          <w:sz w:val="22"/>
          <w:szCs w:val="22"/>
        </w:rPr>
        <w:t xml:space="preserve">: When a validated </w:t>
      </w:r>
      <w:r w:rsidRPr="00E0629E">
        <w:rPr>
          <w:rFonts w:ascii="Times New Roman" w:hAnsi="Times New Roman"/>
          <w:sz w:val="22"/>
          <w:szCs w:val="22"/>
        </w:rPr>
        <w:t>network is available in the target species, the inferred network can be evaluated by using the pipeline from Aim 1 (Steps 5 &amp; 6). Such validations will lead to improveme</w:t>
      </w:r>
      <w:r w:rsidR="00B47FEA">
        <w:rPr>
          <w:rFonts w:ascii="Times New Roman" w:hAnsi="Times New Roman"/>
          <w:sz w:val="22"/>
          <w:szCs w:val="22"/>
        </w:rPr>
        <w:t xml:space="preserve">nts to homology parameters and inference rules as well as an inferred </w:t>
      </w:r>
      <w:proofErr w:type="spellStart"/>
      <w:r w:rsidR="00B47FEA">
        <w:rPr>
          <w:rFonts w:ascii="Times New Roman" w:hAnsi="Times New Roman"/>
          <w:sz w:val="22"/>
          <w:szCs w:val="22"/>
        </w:rPr>
        <w:t>mulinetwork</w:t>
      </w:r>
      <w:proofErr w:type="spellEnd"/>
      <w:r w:rsidR="00B47FEA">
        <w:rPr>
          <w:rFonts w:ascii="Times New Roman" w:hAnsi="Times New Roman"/>
          <w:sz w:val="22"/>
          <w:szCs w:val="22"/>
        </w:rPr>
        <w:t>.</w:t>
      </w:r>
    </w:p>
    <w:p w:rsidR="00E0629E" w:rsidRPr="00E0629E" w:rsidRDefault="00E0629E" w:rsidP="00E0629E">
      <w:pPr>
        <w:spacing w:after="0" w:afterAutospacing="0"/>
        <w:jc w:val="both"/>
        <w:rPr>
          <w:rFonts w:ascii="Times New Roman" w:hAnsi="Times New Roman" w:cs="Times New Roman"/>
          <w:b/>
        </w:rPr>
      </w:pPr>
    </w:p>
    <w:p w:rsidR="00E0629E" w:rsidRDefault="00E0629E" w:rsidP="00E0629E">
      <w:pPr>
        <w:spacing w:after="0" w:afterAutospacing="0"/>
        <w:jc w:val="both"/>
        <w:rPr>
          <w:rFonts w:ascii="Times New Roman" w:hAnsi="Times New Roman" w:cs="Times New Roman"/>
        </w:rPr>
      </w:pPr>
      <w:r w:rsidRPr="00E0629E">
        <w:rPr>
          <w:rFonts w:ascii="Times New Roman" w:hAnsi="Times New Roman" w:cs="Times New Roman"/>
          <w:b/>
        </w:rPr>
        <w:t xml:space="preserve">Table II. Validation of Network Inference using Arabidopsis (reference) and Rice (target). </w:t>
      </w:r>
      <w:r w:rsidRPr="00E0629E">
        <w:rPr>
          <w:rFonts w:ascii="Times New Roman" w:hAnsi="Times New Roman" w:cs="Times New Roman"/>
        </w:rPr>
        <w:t>Inferring interaction relationships in Rice based on homology alone (to Arabidopsis) data (using Rice expression data) yields high precision relative to the “ground truth” network (of Rice). Combining the two (homology and correlation) gives even greater precision at some cost in recall. The use of the asterisk (*) connotes statistically significant improvement in precision</w:t>
      </w:r>
    </w:p>
    <w:p w:rsidR="00E0629E" w:rsidRPr="00E0629E" w:rsidRDefault="00E0629E" w:rsidP="00E0629E">
      <w:pPr>
        <w:spacing w:after="0" w:afterAutospacing="0"/>
        <w:jc w:val="both"/>
        <w:rPr>
          <w:rFonts w:ascii="Times New Roman" w:hAnsi="Times New Roman" w:cs="Times New Roma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4. State-Space modeling: A machine learning approach to network inference. </w:t>
      </w:r>
      <w:r w:rsidRPr="00E0629E">
        <w:rPr>
          <w:rFonts w:ascii="Times New Roman" w:hAnsi="Times New Roman"/>
          <w:sz w:val="22"/>
          <w:szCs w:val="22"/>
        </w:rPr>
        <w:t>State-space modeling fueled by regulatory data (transcriptome depicted as heat map) at closely spaced time points seeks to explain the expression of a target gene X, as a function of the expression of one or more other regulatory genes (e.g. transcription factors, TFs) as a fixed relationship (</w:t>
      </w:r>
      <w:r w:rsidRPr="00E0629E">
        <w:rPr>
          <w:rFonts w:ascii="Times New Roman" w:hAnsi="Times New Roman"/>
          <w:i/>
          <w:sz w:val="22"/>
          <w:szCs w:val="22"/>
        </w:rPr>
        <w:t>f</w:t>
      </w:r>
      <w:r w:rsidRPr="00E0629E">
        <w:rPr>
          <w:rFonts w:ascii="Times New Roman" w:hAnsi="Times New Roman"/>
          <w:sz w:val="22"/>
          <w:szCs w:val="22"/>
        </w:rPr>
        <w:t xml:space="preserve">) between genes. Even though </w:t>
      </w:r>
      <w:r w:rsidRPr="00E0629E">
        <w:rPr>
          <w:rFonts w:ascii="Times New Roman" w:hAnsi="Times New Roman"/>
          <w:i/>
          <w:sz w:val="22"/>
          <w:szCs w:val="22"/>
        </w:rPr>
        <w:t xml:space="preserve">f </w:t>
      </w:r>
      <w:r w:rsidRPr="00E0629E">
        <w:rPr>
          <w:rFonts w:ascii="Times New Roman" w:hAnsi="Times New Roman"/>
          <w:sz w:val="22"/>
          <w:szCs w:val="22"/>
        </w:rPr>
        <w:t xml:space="preserve">is fixed, gene expressions can vary in value because their input genes (e.g. TFs) as well as signals to which they respond (e.g. nitrogen signals) can change over time. The function </w:t>
      </w:r>
      <w:r w:rsidRPr="00E0629E">
        <w:rPr>
          <w:rFonts w:ascii="Times New Roman" w:hAnsi="Times New Roman"/>
          <w:i/>
          <w:sz w:val="22"/>
          <w:szCs w:val="22"/>
        </w:rPr>
        <w:t>f</w:t>
      </w:r>
      <w:r w:rsidRPr="00E0629E">
        <w:rPr>
          <w:rFonts w:ascii="Times New Roman" w:hAnsi="Times New Roman"/>
          <w:sz w:val="22"/>
          <w:szCs w:val="22"/>
        </w:rPr>
        <w:t xml:space="preserve"> is "simple" (or "regularized") in the sense that each target gene in the model is forced to depend on no more than three or four input TFs. Function </w:t>
      </w:r>
      <w:r w:rsidRPr="00E0629E">
        <w:rPr>
          <w:rFonts w:ascii="Times New Roman" w:hAnsi="Times New Roman"/>
          <w:i/>
          <w:sz w:val="22"/>
          <w:szCs w:val="22"/>
        </w:rPr>
        <w:t>f</w:t>
      </w:r>
      <w:r w:rsidRPr="00E0629E">
        <w:rPr>
          <w:rFonts w:ascii="Times New Roman" w:hAnsi="Times New Roman"/>
          <w:sz w:val="22"/>
          <w:szCs w:val="22"/>
        </w:rPr>
        <w:t xml:space="preserve"> is computed through a cyclic series of steps of the form guess, compute error, and then refine f, using the time-series regulatory data </w:t>
      </w:r>
      <w:r w:rsidRPr="00E0629E">
        <w:rPr>
          <w:rFonts w:ascii="Times New Roman" w:hAnsi="Times New Roman"/>
          <w:sz w:val="22"/>
          <w:szCs w:val="22"/>
          <w:highlight w:val="yellow"/>
        </w:rPr>
        <w:t>{</w:t>
      </w:r>
      <w:proofErr w:type="spellStart"/>
      <w:r w:rsidRPr="00E0629E">
        <w:rPr>
          <w:rFonts w:ascii="Times New Roman" w:hAnsi="Times New Roman"/>
          <w:sz w:val="22"/>
          <w:szCs w:val="22"/>
          <w:highlight w:val="yellow"/>
        </w:rPr>
        <w:t>Krouk</w:t>
      </w:r>
      <w:proofErr w:type="spellEnd"/>
      <w:r w:rsidRPr="00E0629E">
        <w:rPr>
          <w:rFonts w:ascii="Times New Roman" w:hAnsi="Times New Roman"/>
          <w:sz w:val="22"/>
          <w:szCs w:val="22"/>
          <w:highlight w:val="yellow"/>
        </w:rPr>
        <w:t>, 2010 #19;Mirowski, 2009 #56}</w:t>
      </w:r>
    </w:p>
    <w:p w:rsidR="00E0629E" w:rsidRPr="00E0629E" w:rsidRDefault="00E0629E" w:rsidP="00E0629E">
      <w:pPr>
        <w:pStyle w:val="PlainText"/>
        <w:jc w:val="both"/>
        <w:rPr>
          <w:rFonts w:ascii="Times New Roman" w:hAnsi="Times New Roman"/>
          <w:b/>
          <w:sz w:val="22"/>
          <w:szCs w:val="22"/>
          <w:highlight w:val="darkGree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Fig. 5. Prediction and Validation Using a Network Constructed from State-Space Modeling.</w:t>
      </w:r>
      <w:r w:rsidRPr="00E0629E">
        <w:rPr>
          <w:rFonts w:ascii="Times New Roman" w:hAnsi="Times New Roman"/>
          <w:sz w:val="22"/>
          <w:szCs w:val="22"/>
        </w:rPr>
        <w:t xml:space="preserve"> In the state space model depicted in (A), each node represents the values of all gene expressions at a particular time point. The set of all gene expressions at time t is modeled by a “latent” (i.e., hidden) variable (denoted </w:t>
      </w:r>
      <w:proofErr w:type="gramStart"/>
      <w:r w:rsidRPr="00E0629E">
        <w:rPr>
          <w:rFonts w:ascii="Times New Roman" w:hAnsi="Times New Roman"/>
          <w:sz w:val="22"/>
          <w:szCs w:val="22"/>
        </w:rPr>
        <w:t>Z(</w:t>
      </w:r>
      <w:proofErr w:type="gramEnd"/>
      <w:r w:rsidRPr="00E0629E">
        <w:rPr>
          <w:rFonts w:ascii="Times New Roman" w:hAnsi="Times New Roman"/>
          <w:i/>
          <w:sz w:val="22"/>
          <w:szCs w:val="22"/>
        </w:rPr>
        <w:t>t</w:t>
      </w:r>
      <w:r w:rsidRPr="00E0629E">
        <w:rPr>
          <w:rFonts w:ascii="Times New Roman" w:hAnsi="Times New Roman"/>
          <w:sz w:val="22"/>
          <w:szCs w:val="22"/>
        </w:rPr>
        <w:t>)) from which noisy and sometimes missing observations Y(</w:t>
      </w:r>
      <w:r w:rsidRPr="00E0629E">
        <w:rPr>
          <w:rFonts w:ascii="Times New Roman" w:hAnsi="Times New Roman"/>
          <w:i/>
          <w:sz w:val="22"/>
          <w:szCs w:val="22"/>
        </w:rPr>
        <w:t>t</w:t>
      </w:r>
      <w:r w:rsidRPr="00E0629E">
        <w:rPr>
          <w:rFonts w:ascii="Times New Roman" w:hAnsi="Times New Roman"/>
          <w:sz w:val="22"/>
          <w:szCs w:val="22"/>
        </w:rPr>
        <w:t xml:space="preserve">) are made. An unknown </w:t>
      </w:r>
      <w:r w:rsidRPr="00E0629E">
        <w:rPr>
          <w:rFonts w:ascii="Times New Roman" w:hAnsi="Times New Roman"/>
          <w:i/>
          <w:sz w:val="22"/>
          <w:szCs w:val="22"/>
        </w:rPr>
        <w:t>function</w:t>
      </w:r>
      <w:r w:rsidRPr="00E0629E">
        <w:rPr>
          <w:rFonts w:ascii="Times New Roman" w:hAnsi="Times New Roman"/>
          <w:sz w:val="22"/>
          <w:szCs w:val="22"/>
        </w:rPr>
        <w:t xml:space="preserve"> </w:t>
      </w:r>
      <w:r w:rsidRPr="00E0629E">
        <w:rPr>
          <w:rFonts w:ascii="Times New Roman" w:hAnsi="Times New Roman"/>
          <w:i/>
          <w:sz w:val="22"/>
          <w:szCs w:val="22"/>
        </w:rPr>
        <w:t>f</w:t>
      </w:r>
      <w:r w:rsidRPr="00E0629E">
        <w:rPr>
          <w:rFonts w:ascii="Times New Roman" w:hAnsi="Times New Roman"/>
          <w:sz w:val="22"/>
          <w:szCs w:val="22"/>
        </w:rPr>
        <w:t xml:space="preserve"> (represented by red square) relates the values of latent variables </w:t>
      </w:r>
      <w:proofErr w:type="gramStart"/>
      <w:r w:rsidRPr="00E0629E">
        <w:rPr>
          <w:rFonts w:ascii="Times New Roman" w:hAnsi="Times New Roman"/>
          <w:sz w:val="22"/>
          <w:szCs w:val="22"/>
        </w:rPr>
        <w:t>Z(</w:t>
      </w:r>
      <w:proofErr w:type="gramEnd"/>
      <w:r w:rsidRPr="00E0629E">
        <w:rPr>
          <w:rFonts w:ascii="Times New Roman" w:hAnsi="Times New Roman"/>
          <w:sz w:val="22"/>
          <w:szCs w:val="22"/>
        </w:rPr>
        <w:t xml:space="preserve">t) and Z(t+1) (for all </w:t>
      </w:r>
      <w:r w:rsidRPr="00E0629E">
        <w:rPr>
          <w:rFonts w:ascii="Times New Roman" w:hAnsi="Times New Roman"/>
          <w:i/>
          <w:sz w:val="22"/>
          <w:szCs w:val="22"/>
        </w:rPr>
        <w:t>t</w:t>
      </w:r>
      <w:r w:rsidRPr="00E0629E">
        <w:rPr>
          <w:rFonts w:ascii="Times New Roman" w:hAnsi="Times New Roman"/>
          <w:sz w:val="22"/>
          <w:szCs w:val="22"/>
        </w:rPr>
        <w:t xml:space="preserve">) corresponding to consecutive time measurements. In (B) Validation of the predictive modeling is tested by the ability to accurate predicting the direction of change of each gene at 20 min for state space modeling (B) vs. trend-forecast test (C) </w:t>
      </w:r>
      <w:r w:rsidRPr="00E0629E">
        <w:rPr>
          <w:rFonts w:ascii="Times New Roman" w:hAnsi="Times New Roman"/>
          <w:sz w:val="22"/>
          <w:szCs w:val="22"/>
          <w:highlight w:val="yellow"/>
        </w:rPr>
        <w:t>{</w:t>
      </w:r>
      <w:proofErr w:type="spellStart"/>
      <w:r w:rsidRPr="00E0629E">
        <w:rPr>
          <w:rFonts w:ascii="Times New Roman" w:hAnsi="Times New Roman"/>
          <w:sz w:val="22"/>
          <w:szCs w:val="22"/>
          <w:highlight w:val="yellow"/>
        </w:rPr>
        <w:t>Krouk</w:t>
      </w:r>
      <w:proofErr w:type="spellEnd"/>
      <w:r w:rsidRPr="00E0629E">
        <w:rPr>
          <w:rFonts w:ascii="Times New Roman" w:hAnsi="Times New Roman"/>
          <w:sz w:val="22"/>
          <w:szCs w:val="22"/>
          <w:highlight w:val="yellow"/>
        </w:rPr>
        <w:t>, 2010 #19;Mirowski, 2009 #56}</w:t>
      </w:r>
      <w:r w:rsidRPr="00E0629E">
        <w:rPr>
          <w:rFonts w:ascii="Times New Roman" w:hAnsi="Times New Roman"/>
          <w:sz w:val="22"/>
          <w:szCs w:val="22"/>
        </w:rPr>
        <w:t>.</w:t>
      </w:r>
    </w:p>
    <w:p w:rsidR="00E0629E" w:rsidRPr="00E0629E" w:rsidRDefault="00E0629E" w:rsidP="00E0629E">
      <w:pPr>
        <w:pStyle w:val="PlainText"/>
        <w:jc w:val="both"/>
        <w:rPr>
          <w:rFonts w:ascii="Times New Roman" w:hAnsi="Times New Roman"/>
          <w:b/>
          <w:sz w:val="22"/>
          <w:szCs w:val="22"/>
          <w:highlight w:val="darkGree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6. The Cross Species Network Inference (CSNI) User Interface.  </w:t>
      </w:r>
      <w:r w:rsidRPr="00E0629E">
        <w:rPr>
          <w:rFonts w:ascii="Times New Roman" w:hAnsi="Times New Roman"/>
          <w:sz w:val="22"/>
          <w:szCs w:val="22"/>
        </w:rPr>
        <w:t>A biologist user selects a target and reference species. Next the user selects a homology technique and its parameters.  Finally, the biologist selects a “ground truth” data set from the reference species, as well as experimental data in the target species to aid in the prediction of inferred gene regulatory networks in the target (e.g. crop) species. See the workflow in Fig. 3, panel A.</w:t>
      </w:r>
    </w:p>
    <w:p w:rsidR="00A5140A" w:rsidRPr="00E0629E" w:rsidRDefault="00A5140A" w:rsidP="00E0629E">
      <w:pPr>
        <w:spacing w:after="0" w:afterAutospacing="0"/>
        <w:rPr>
          <w:rFonts w:ascii="Times New Roman" w:hAnsi="Times New Roman" w:cs="Times New Roman"/>
        </w:rPr>
      </w:pPr>
    </w:p>
    <w:sectPr w:rsidR="00A5140A" w:rsidRPr="00E0629E" w:rsidSect="00B25A55">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8022FF"/>
    <w:rsid w:val="00002F7B"/>
    <w:rsid w:val="00005C30"/>
    <w:rsid w:val="00005E14"/>
    <w:rsid w:val="00005E36"/>
    <w:rsid w:val="00045B7C"/>
    <w:rsid w:val="000E146E"/>
    <w:rsid w:val="00113DEB"/>
    <w:rsid w:val="002015FF"/>
    <w:rsid w:val="003F7E04"/>
    <w:rsid w:val="00462BEC"/>
    <w:rsid w:val="00560457"/>
    <w:rsid w:val="00733DF8"/>
    <w:rsid w:val="008022FF"/>
    <w:rsid w:val="0083622B"/>
    <w:rsid w:val="0086509A"/>
    <w:rsid w:val="00895C08"/>
    <w:rsid w:val="00946886"/>
    <w:rsid w:val="00972DF5"/>
    <w:rsid w:val="00977C8E"/>
    <w:rsid w:val="009A2122"/>
    <w:rsid w:val="00A25D6F"/>
    <w:rsid w:val="00A5140A"/>
    <w:rsid w:val="00B25A55"/>
    <w:rsid w:val="00B47FEA"/>
    <w:rsid w:val="00B92F4A"/>
    <w:rsid w:val="00BF2630"/>
    <w:rsid w:val="00CD3A1E"/>
    <w:rsid w:val="00D63AFB"/>
    <w:rsid w:val="00DA3E49"/>
    <w:rsid w:val="00E0629E"/>
    <w:rsid w:val="00FC3CE4"/>
    <w:rsid w:val="00FF4C63"/>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C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8022FF"/>
    <w:pPr>
      <w:spacing w:after="0" w:afterAutospacing="0"/>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8022FF"/>
    <w:rPr>
      <w:rFonts w:ascii="Courier" w:eastAsia="Times New Roman" w:hAnsi="Courier" w:cs="Times New Roman"/>
      <w:sz w:val="24"/>
      <w:szCs w:val="24"/>
    </w:rPr>
  </w:style>
  <w:style w:type="character" w:styleId="Hyperlink">
    <w:name w:val="Hyperlink"/>
    <w:basedOn w:val="DefaultParagraphFont"/>
    <w:rsid w:val="009A212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DFD8D04-E7CD-A648-84B8-24AC05B2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693</Words>
  <Characters>3952</Characters>
  <Application>Microsoft Macintosh Word</Application>
  <DocSecurity>0</DocSecurity>
  <Lines>32</Lines>
  <Paragraphs>7</Paragraphs>
  <ScaleCrop>false</ScaleCrop>
  <Company>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Dennis Shasha</cp:lastModifiedBy>
  <cp:revision>5</cp:revision>
  <dcterms:created xsi:type="dcterms:W3CDTF">2010-08-06T20:25:00Z</dcterms:created>
  <dcterms:modified xsi:type="dcterms:W3CDTF">2010-08-07T17:24:00Z</dcterms:modified>
</cp:coreProperties>
</file>